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rPr/>
      </w:pPr>
      <w:bookmarkStart w:colFirst="0" w:colLast="0" w:name="_v6ojkftgsii" w:id="0"/>
      <w:bookmarkEnd w:id="0"/>
      <w:r w:rsidDel="00000000" w:rsidR="00000000" w:rsidRPr="00000000">
        <w:rPr>
          <w:rtl w:val="0"/>
        </w:rPr>
        <w:t xml:space="preserve">Перечень поручений по итогам расширенного заседания президиума Государственного совета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Президент утвердил перечень поручений по итогам расширенного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заседания </w:t>
        </w:r>
      </w:hyperlink>
      <w:r w:rsidDel="00000000" w:rsidR="00000000" w:rsidRPr="00000000">
        <w:rPr>
          <w:rtl w:val="0"/>
        </w:rPr>
        <w:t xml:space="preserve">президиума Государственного совета, состоявшегося 23 ноября 2018 года.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6. Правительству Российской Федерации совместно с Администрацией Президента Российской Федерации проработать и представить предложения по внесению изменений в нормативные правовые акты в части установления ответственности должностных лиц субъектов Российской Федерации за нарушения условий соглашений о предоставлении межбюджетных трансфертов, заключённых между федеральными органами исполнительной власти и субъектами Российской Федерации, и иных соглашений, вместо сокращения и возврата в федеральный бюджет межбюджетных трансфертов.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Доклад – до 15 января 2019 г.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Ответственные: Медведев Д.А., Вайно А.Э.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7. Правительству Российской Федерации обеспечить внесение изменений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нужд, предусмотрев: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а) при проведении аукциона (с начальной ценой более 100 млн. рублей) на выполнение работ по строительству объектов капитального строительства возможность подачи ценовых предложений исключительно лицами, подтвердившими наличие за последние 3 года до даты подачи заявки на участие в аукционе, опыта выполнения работ по проектированию, строительству объектов, аналогичных объекту закупки, стоимость которых составляла не менее 20–50 процентов начальной (максимальной) цены контракта, на право заключить который проводится закупка. При определении требований к опыту дифференцировать их в зависимости от размера начальной (максимальной) цены контракта;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б) при осуществлении закупок (с начальной ценой более 100 млн. рублей) путём проведения конкурса по строительству, реконструкции, капитальному ремонту особо опасных, технически сложных, уникальных объектов капитального строительства, а также искусственных дорожных сооружений, включённых в состав автомобильных дорог федерального, регионального, межмуниципального и местного значения, проведение оценки заявок по нестоимостным критериям с предельной значимостью, не превышающей 40 процентов, исключительно в части имеющегося опыта выполнения работ по следующим показателям: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суммарная стоимость исполненных контрактов (договоров);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стоимость самого крупного исполненного контракта (договора);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количество исполненных контрактов (договоров).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в) право, по решению Правительства Российской Федерации, высшего исполнительного органа государственной власти субъекта Российской Федерации, органа местного самоуправления, при исполнении контракта по строительству (если цена контракта превышает размер, определённый Правительством Российской Федерации, и срок исполнения составляет не менее 1 года), в случае возникновения по независящим от сторон контракта обстоятельств, в том числе связанных с необходимостью выполнения работ, ранее не включённых в проектную документацию и требующихся для исполнения контракта, изменить не более чем на 30 процентов цену контракта и (или) срок его исполнения, при условии внесения изменений в установленном порядке в проектную документацию и обеспечения подтверждения достоверности сметной стоимости;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г) возможность, при нарушении срока исполнения контракта по строительству по вине подрядчика, однократного продления срока действия такого контракта по соглашению сторон на срок, не превышающий первоначальный срок действия контракта, исходя из объёма и характера невыполненных работ, при условии уплаты подрядчиком штрафа в размере начисленной неустойки за нарушение срока исполнения контракта;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д) право заказчика заключить контракт с участником закупки, которому присвоен второй номер по итогам проведения конкурентной закупки, в случае расторжения контракта с победителем;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е) расширение случаев осуществления закупок товаров, работ, услуг за единицу товара, работы, услуги вне зависимости от объекта закупки при условии невозможности определить объём необходимых товаров, работ, услуг на момент закупки.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Срок – 1 марта 2019 г.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Ответственный: Медведев Д.А.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8. Правительству Российской Федерации проработать вопрос о внесении изменений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нужд, предусматривающих: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а) условие о запрете выплаты аванса в случае, если в результате проведения торгов цена контракта снижена на 25 процентов и более;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б) перечень оснований для принятия заказчиком решения об одностороннем расторжении контракта в целях снижения коррупционных рисков на стадии исполнения контракта.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Доклад – до 1 марта 2019 г.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Ответственный: Медведев Д.А.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708.661417322834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http//kremlin.ru/events/president/news/59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