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03" w:rsidRDefault="003D5103">
      <w:pPr>
        <w:pStyle w:val="ConsPlusNormal"/>
        <w:jc w:val="right"/>
        <w:outlineLvl w:val="0"/>
      </w:pPr>
      <w:r>
        <w:t>Приложение N 14</w:t>
      </w:r>
    </w:p>
    <w:p w:rsidR="003D5103" w:rsidRDefault="003D5103">
      <w:pPr>
        <w:pStyle w:val="ConsPlusNormal"/>
        <w:jc w:val="right"/>
      </w:pPr>
      <w:r>
        <w:t>к приказу Министерства культуры</w:t>
      </w:r>
    </w:p>
    <w:p w:rsidR="003D5103" w:rsidRDefault="003D5103">
      <w:pPr>
        <w:pStyle w:val="ConsPlusNormal"/>
        <w:jc w:val="right"/>
      </w:pPr>
      <w:r>
        <w:t>Российской Федерации</w:t>
      </w:r>
    </w:p>
    <w:p w:rsidR="003D5103" w:rsidRDefault="003D5103">
      <w:pPr>
        <w:pStyle w:val="ConsPlusNormal"/>
        <w:jc w:val="right"/>
      </w:pPr>
      <w:r>
        <w:t>от 10 июня 2019 г. N 745</w:t>
      </w:r>
    </w:p>
    <w:p w:rsidR="003D5103" w:rsidRDefault="003D5103">
      <w:pPr>
        <w:pStyle w:val="ConsPlusNormal"/>
        <w:jc w:val="both"/>
      </w:pPr>
    </w:p>
    <w:p w:rsidR="003D5103" w:rsidRDefault="003D5103">
      <w:pPr>
        <w:pStyle w:val="ConsPlusTitle"/>
        <w:jc w:val="center"/>
      </w:pPr>
      <w:r>
        <w:t>ИНФОРМАЦИОННАЯ КАРТА</w:t>
      </w:r>
    </w:p>
    <w:p w:rsidR="003D5103" w:rsidRDefault="003D5103">
      <w:pPr>
        <w:pStyle w:val="ConsPlusTitle"/>
        <w:jc w:val="center"/>
      </w:pPr>
      <w:r>
        <w:t>ТИПОВОГО КОНТРАКТА О ГОСУДАРСТВЕННОЙ ФИНАНСОВОЙ ПОДДЕРЖКЕ</w:t>
      </w:r>
    </w:p>
    <w:p w:rsidR="003D5103" w:rsidRDefault="003D5103">
      <w:pPr>
        <w:pStyle w:val="ConsPlusTitle"/>
        <w:jc w:val="center"/>
      </w:pPr>
      <w:r>
        <w:t>ПРОИЗВОДСТВА НАЦИОНАЛЬНОГО НЕИГРОВОГО ФИЛЬМА</w:t>
      </w:r>
    </w:p>
    <w:p w:rsidR="003D5103" w:rsidRDefault="003D51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165"/>
        <w:gridCol w:w="3458"/>
      </w:tblGrid>
      <w:tr w:rsidR="003D5103">
        <w:tc>
          <w:tcPr>
            <w:tcW w:w="446" w:type="dxa"/>
          </w:tcPr>
          <w:p w:rsidR="003D5103" w:rsidRDefault="003D510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623" w:type="dxa"/>
            <w:gridSpan w:val="2"/>
          </w:tcPr>
          <w:p w:rsidR="003D5103" w:rsidRDefault="003D5103">
            <w:pPr>
              <w:pStyle w:val="ConsPlusNormal"/>
            </w:pPr>
            <w: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3D5103">
        <w:tc>
          <w:tcPr>
            <w:tcW w:w="446" w:type="dxa"/>
          </w:tcPr>
          <w:p w:rsidR="003D5103" w:rsidRDefault="003D5103">
            <w:pPr>
              <w:pStyle w:val="ConsPlusNormal"/>
            </w:pPr>
            <w:r>
              <w:t>а)</w:t>
            </w: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Министерство культуры Российской Федерации</w:t>
            </w:r>
          </w:p>
        </w:tc>
      </w:tr>
      <w:tr w:rsidR="003D5103">
        <w:tc>
          <w:tcPr>
            <w:tcW w:w="446" w:type="dxa"/>
          </w:tcPr>
          <w:p w:rsidR="003D5103" w:rsidRDefault="003D5103">
            <w:pPr>
              <w:pStyle w:val="ConsPlusNormal"/>
            </w:pPr>
            <w:r>
              <w:t>б)</w:t>
            </w: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>вид документа (типовой контракт или типовые условия контракта).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типовой контракт</w:t>
            </w:r>
          </w:p>
        </w:tc>
      </w:tr>
      <w:tr w:rsidR="003D5103">
        <w:tc>
          <w:tcPr>
            <w:tcW w:w="446" w:type="dxa"/>
          </w:tcPr>
          <w:p w:rsidR="003D5103" w:rsidRDefault="003D510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623" w:type="dxa"/>
            <w:gridSpan w:val="2"/>
          </w:tcPr>
          <w:p w:rsidR="003D5103" w:rsidRDefault="003D5103">
            <w:pPr>
              <w:pStyle w:val="ConsPlusNormal"/>
            </w:pPr>
            <w:r>
              <w:t>Показатели для применения типового контракта, типовых условий контракта:</w:t>
            </w:r>
          </w:p>
        </w:tc>
      </w:tr>
      <w:tr w:rsidR="003D5103">
        <w:tc>
          <w:tcPr>
            <w:tcW w:w="446" w:type="dxa"/>
          </w:tcPr>
          <w:p w:rsidR="003D5103" w:rsidRDefault="003D5103">
            <w:pPr>
              <w:pStyle w:val="ConsPlusNormal"/>
            </w:pPr>
            <w:r>
              <w:t>а)</w:t>
            </w: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>наименование товара, работы, услуги;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государственная финансовая поддержка производства национального неигрового фильма</w:t>
            </w:r>
          </w:p>
        </w:tc>
      </w:tr>
      <w:tr w:rsidR="003D5103">
        <w:tc>
          <w:tcPr>
            <w:tcW w:w="446" w:type="dxa"/>
            <w:tcBorders>
              <w:bottom w:val="nil"/>
            </w:tcBorders>
          </w:tcPr>
          <w:p w:rsidR="003D5103" w:rsidRDefault="003D5103">
            <w:pPr>
              <w:pStyle w:val="ConsPlusNormal"/>
            </w:pPr>
            <w:r>
              <w:t>б)</w:t>
            </w: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 xml:space="preserve">код (коды) предмета контракта: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код (коды) предмета контракта ОКПД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3D5103" w:rsidRDefault="003D5103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59.11.11.000</w:t>
              </w:r>
            </w:hyperlink>
          </w:p>
        </w:tc>
      </w:tr>
      <w:tr w:rsidR="003D5103">
        <w:tc>
          <w:tcPr>
            <w:tcW w:w="446" w:type="dxa"/>
            <w:tcBorders>
              <w:top w:val="nil"/>
              <w:bottom w:val="nil"/>
            </w:tcBorders>
          </w:tcPr>
          <w:p w:rsidR="003D5103" w:rsidRDefault="003D5103">
            <w:pPr>
              <w:pStyle w:val="ConsPlusNormal"/>
            </w:pP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 xml:space="preserve">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);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3D5103" w:rsidRDefault="003D5103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59.11</w:t>
              </w:r>
            </w:hyperlink>
          </w:p>
        </w:tc>
      </w:tr>
      <w:tr w:rsidR="003D5103">
        <w:tc>
          <w:tcPr>
            <w:tcW w:w="446" w:type="dxa"/>
            <w:tcBorders>
              <w:top w:val="nil"/>
            </w:tcBorders>
          </w:tcPr>
          <w:p w:rsidR="003D5103" w:rsidRDefault="003D5103">
            <w:pPr>
              <w:pStyle w:val="ConsPlusNormal"/>
            </w:pP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-</w:t>
            </w:r>
          </w:p>
        </w:tc>
      </w:tr>
      <w:tr w:rsidR="003D5103">
        <w:tc>
          <w:tcPr>
            <w:tcW w:w="446" w:type="dxa"/>
          </w:tcPr>
          <w:p w:rsidR="003D5103" w:rsidRDefault="003D5103">
            <w:pPr>
              <w:pStyle w:val="ConsPlusNormal"/>
            </w:pPr>
            <w:r>
              <w:t>в)</w:t>
            </w: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от 500 000,00 руб.</w:t>
            </w:r>
          </w:p>
        </w:tc>
      </w:tr>
      <w:tr w:rsidR="003D5103">
        <w:tc>
          <w:tcPr>
            <w:tcW w:w="446" w:type="dxa"/>
          </w:tcPr>
          <w:p w:rsidR="003D5103" w:rsidRDefault="003D5103">
            <w:pPr>
              <w:pStyle w:val="ConsPlusNormal"/>
            </w:pPr>
            <w:r>
              <w:t>г)</w:t>
            </w:r>
          </w:p>
        </w:tc>
        <w:tc>
          <w:tcPr>
            <w:tcW w:w="5165" w:type="dxa"/>
          </w:tcPr>
          <w:p w:rsidR="003D5103" w:rsidRDefault="003D5103">
            <w:pPr>
              <w:pStyle w:val="ConsPlusNormal"/>
            </w:pPr>
            <w: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3458" w:type="dxa"/>
          </w:tcPr>
          <w:p w:rsidR="003D5103" w:rsidRDefault="003D5103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F94960" w:rsidRDefault="00F94960">
      <w:bookmarkStart w:id="0" w:name="_GoBack"/>
      <w:bookmarkEnd w:id="0"/>
    </w:p>
    <w:sectPr w:rsidR="00F94960" w:rsidSect="000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3"/>
    <w:rsid w:val="003D5103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D730EA4DB711E5BCB5CA0EF3C45E30F84506A558988AD1D271042F8EA1DDD587A7DCC3E1E8E40FAF5AD3FFA88162D9683F5A89095551G2L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8D730EA4DB711E5BCB5CA0EF3C45E30F84506A558988AD1D271042F8EA1DDC787FFD0C1ECF2E40BBA0C82BAGFL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8D730EA4DB711E5BCB5CA0EF3C45E30F84506A55E988AD1D271042F8EA1DDD587A7DCC0E4EDE40AAF5AD3FFA88162D9683F5A89095551G2L9K" TargetMode="External"/><Relationship Id="rId5" Type="http://schemas.openxmlformats.org/officeDocument/2006/relationships/hyperlink" Target="consultantplus://offline/ref=2608D730EA4DB711E5BCB5CA0EF3C45E30F84506A55E988AD1D271042F8EA1DDC787FFD0C1ECF2E40BBA0C82BAGFL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Shishova</dc:creator>
  <cp:lastModifiedBy>Anastasia Shishova</cp:lastModifiedBy>
  <cp:revision>1</cp:revision>
  <dcterms:created xsi:type="dcterms:W3CDTF">2019-10-29T10:11:00Z</dcterms:created>
  <dcterms:modified xsi:type="dcterms:W3CDTF">2019-10-29T10:11:00Z</dcterms:modified>
</cp:coreProperties>
</file>